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BD71C">
      <w:pPr>
        <w:pStyle w:val="3"/>
        <w:widowControl/>
        <w:pBdr>
          <w:bottom w:val="dashed" w:color="CCCCCC" w:sz="6" w:space="5"/>
        </w:pBdr>
        <w:spacing w:beforeAutospacing="0" w:afterAutospacing="0" w:line="15" w:lineRule="atLeast"/>
        <w:jc w:val="center"/>
        <w:rPr>
          <w:rFonts w:hint="default" w:ascii="Segoe UI" w:hAnsi="Segoe UI" w:eastAsia="Segoe UI" w:cs="Segoe UI"/>
          <w:color w:val="040000"/>
          <w:sz w:val="39"/>
          <w:szCs w:val="39"/>
        </w:rPr>
      </w:pPr>
      <w:r>
        <w:rPr>
          <w:rFonts w:hint="default" w:ascii="Segoe UI" w:hAnsi="Segoe UI" w:eastAsia="Segoe UI" w:cs="Segoe UI"/>
          <w:color w:val="040000"/>
          <w:sz w:val="39"/>
          <w:szCs w:val="39"/>
        </w:rPr>
        <w:t>关于公开采购长春泵站厂房外墙防渗处理项目</w:t>
      </w:r>
    </w:p>
    <w:p w14:paraId="7CB54470">
      <w:pPr>
        <w:pStyle w:val="3"/>
        <w:widowControl/>
        <w:pBdr>
          <w:bottom w:val="dashed" w:color="CCCCCC" w:sz="6" w:space="5"/>
        </w:pBdr>
        <w:spacing w:beforeAutospacing="0" w:afterAutospacing="0" w:line="15" w:lineRule="atLeast"/>
        <w:jc w:val="center"/>
        <w:rPr>
          <w:rFonts w:hint="default" w:ascii="Segoe UI" w:hAnsi="Segoe UI" w:eastAsia="Segoe UI" w:cs="Segoe UI"/>
          <w:color w:val="040000"/>
          <w:sz w:val="39"/>
          <w:szCs w:val="39"/>
        </w:rPr>
      </w:pPr>
      <w:r>
        <w:rPr>
          <w:rFonts w:hint="default" w:ascii="Segoe UI" w:hAnsi="Segoe UI" w:eastAsia="Segoe UI" w:cs="Segoe UI"/>
          <w:color w:val="040000"/>
          <w:sz w:val="39"/>
          <w:szCs w:val="39"/>
        </w:rPr>
        <w:t>单组分聚脲防水施工劳务</w:t>
      </w:r>
      <w:r>
        <w:rPr>
          <w:rFonts w:hint="eastAsia" w:ascii="Segoe UI" w:hAnsi="Segoe UI" w:cs="Segoe UI"/>
          <w:color w:val="040000"/>
          <w:sz w:val="39"/>
          <w:szCs w:val="39"/>
          <w:lang w:val="en-US" w:eastAsia="zh-CN"/>
        </w:rPr>
        <w:t>分包</w:t>
      </w:r>
      <w:r>
        <w:rPr>
          <w:rFonts w:hint="default" w:ascii="Segoe UI" w:hAnsi="Segoe UI" w:eastAsia="Segoe UI" w:cs="Segoe UI"/>
          <w:color w:val="040000"/>
          <w:sz w:val="39"/>
          <w:szCs w:val="39"/>
        </w:rPr>
        <w:t>的公告</w:t>
      </w:r>
    </w:p>
    <w:p w14:paraId="234A9F9C">
      <w:pPr>
        <w:spacing w:line="360" w:lineRule="auto"/>
        <w:ind w:firstLine="480" w:firstLineChars="2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科学研究院</w:t>
      </w:r>
      <w:r>
        <w:rPr>
          <w:rFonts w:ascii="Times New Roman" w:hAnsi="Times New Roman" w:eastAsia="宋体" w:cs="Segoe UI"/>
          <w:color w:val="212529"/>
          <w:sz w:val="24"/>
        </w:rPr>
        <w:t>拟采购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施工劳务分包用于单组分聚脲防水、防腐施工</w:t>
      </w:r>
      <w:r>
        <w:rPr>
          <w:rFonts w:ascii="Times New Roman" w:hAnsi="Times New Roman" w:eastAsia="宋体" w:cs="Segoe UI"/>
          <w:color w:val="212529"/>
          <w:sz w:val="24"/>
        </w:rPr>
        <w:t>，</w:t>
      </w:r>
      <w:r>
        <w:rPr>
          <w:rFonts w:hint="eastAsia" w:ascii="Times New Roman" w:hAnsi="Times New Roman" w:eastAsia="宋体" w:cs="Segoe UI"/>
          <w:color w:val="212529"/>
          <w:sz w:val="24"/>
        </w:rPr>
        <w:t>以满足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长春泵站厂房外墙防渗处理</w:t>
      </w:r>
      <w:r>
        <w:rPr>
          <w:rFonts w:hint="eastAsia" w:ascii="Times New Roman" w:hAnsi="Times New Roman" w:eastAsia="宋体" w:cs="Segoe UI"/>
          <w:color w:val="000000" w:themeColor="text1"/>
          <w:sz w:val="24"/>
          <w14:textFill>
            <w14:solidFill>
              <w14:schemeClr w14:val="tx1"/>
            </w14:solidFill>
          </w14:textFill>
        </w:rPr>
        <w:t>需求</w:t>
      </w:r>
      <w:r>
        <w:rPr>
          <w:rFonts w:ascii="Times New Roman" w:hAnsi="Times New Roman" w:eastAsia="宋体" w:cs="Segoe UI"/>
          <w:color w:val="212529"/>
          <w:sz w:val="24"/>
        </w:rPr>
        <w:t>。根据中水东北勘测设计研究有限责任公司《公司采购管理办法》（中水东勘办[2024]313号）有关规定，为确保采购过程公开、公平、公正，现公开征招</w:t>
      </w:r>
      <w:r>
        <w:rPr>
          <w:rFonts w:hint="eastAsia" w:ascii="Times New Roman" w:hAnsi="Times New Roman" w:eastAsia="宋体" w:cs="Segoe UI"/>
          <w:color w:val="212529"/>
          <w:sz w:val="24"/>
        </w:rPr>
        <w:t>相关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ascii="Times New Roman" w:hAnsi="Times New Roman" w:eastAsia="宋体" w:cs="Segoe UI"/>
          <w:color w:val="212529"/>
          <w:sz w:val="24"/>
        </w:rPr>
        <w:t>进行询比</w:t>
      </w:r>
      <w:r>
        <w:rPr>
          <w:rFonts w:hint="eastAsia" w:ascii="Times New Roman" w:hAnsi="Times New Roman" w:eastAsia="宋体" w:cs="Segoe UI"/>
          <w:color w:val="212529"/>
          <w:sz w:val="24"/>
        </w:rPr>
        <w:t>采购</w:t>
      </w:r>
      <w:r>
        <w:rPr>
          <w:rFonts w:ascii="Times New Roman" w:hAnsi="Times New Roman" w:eastAsia="宋体" w:cs="Segoe UI"/>
          <w:color w:val="212529"/>
          <w:sz w:val="24"/>
        </w:rPr>
        <w:t>。</w:t>
      </w:r>
    </w:p>
    <w:p w14:paraId="45454D2B">
      <w:pPr>
        <w:spacing w:line="360" w:lineRule="auto"/>
        <w:rPr>
          <w:rFonts w:ascii="Times New Roman" w:hAnsi="Times New Roman" w:eastAsia="宋体" w:cs="Segoe UI"/>
          <w:b/>
          <w:bCs/>
          <w:color w:val="212529"/>
          <w:sz w:val="24"/>
        </w:rPr>
      </w:pPr>
      <w:r>
        <w:rPr>
          <w:rFonts w:ascii="Times New Roman" w:hAnsi="Times New Roman" w:eastAsia="宋体" w:cs="Segoe UI"/>
          <w:b/>
          <w:bCs/>
          <w:color w:val="212529"/>
          <w:sz w:val="24"/>
        </w:rPr>
        <w:t>一、公告时间</w:t>
      </w:r>
    </w:p>
    <w:p w14:paraId="79828C18">
      <w:pPr>
        <w:spacing w:line="360" w:lineRule="auto"/>
        <w:ind w:firstLine="480" w:firstLineChars="200"/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日。</w:t>
      </w:r>
    </w:p>
    <w:p w14:paraId="423861CB">
      <w:pPr>
        <w:spacing w:line="360" w:lineRule="auto"/>
        <w:rPr>
          <w:rFonts w:ascii="Times New Roman" w:hAnsi="Times New Roman" w:eastAsia="宋体" w:cs="Segoe UI"/>
          <w:b/>
          <w:bCs/>
          <w:color w:val="212529"/>
          <w:sz w:val="24"/>
        </w:rPr>
      </w:pPr>
      <w:r>
        <w:rPr>
          <w:rFonts w:ascii="Times New Roman" w:hAnsi="Times New Roman" w:eastAsia="宋体" w:cs="Segoe UI"/>
          <w:b/>
          <w:bCs/>
          <w:color w:val="212529"/>
          <w:sz w:val="24"/>
        </w:rPr>
        <w:t>二、采购内容</w:t>
      </w:r>
    </w:p>
    <w:p w14:paraId="62F5F8FA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1、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负责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长春泵站厂房外墙防渗</w:t>
      </w:r>
      <w:r>
        <w:rPr>
          <w:rFonts w:hint="eastAsia" w:ascii="Times New Roman" w:hAnsi="Times New Roman" w:eastAsia="宋体" w:cs="Segoe UI"/>
          <w:color w:val="212529"/>
          <w:sz w:val="24"/>
        </w:rPr>
        <w:t>项目单组分聚脲防水施工，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包括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厂房外墙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基面处理</w:t>
      </w:r>
      <w:r>
        <w:rPr>
          <w:rFonts w:hint="eastAsia" w:ascii="Times New Roman" w:hAnsi="Times New Roman" w:eastAsia="宋体" w:cs="Segoe UI"/>
          <w:color w:val="212529"/>
          <w:sz w:val="24"/>
        </w:rPr>
        <w:t>、涂刷底剂、刮腻子、刮涂单组分聚脲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聚脲层厚度不小于2mm）等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，其施工方</w:t>
      </w:r>
      <w:r>
        <w:rPr>
          <w:rFonts w:hint="eastAsia" w:ascii="Times New Roman" w:hAnsi="Times New Roman" w:eastAsia="宋体" w:cs="Segoe UI"/>
          <w:color w:val="212529"/>
          <w:sz w:val="24"/>
        </w:rPr>
        <w:t>法与工艺按照技术方案执行。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上述原材料由采购方统一提供。</w:t>
      </w:r>
    </w:p>
    <w:p w14:paraId="7C4D3C0E">
      <w:pPr>
        <w:spacing w:line="360" w:lineRule="auto"/>
        <w:ind w:firstLine="480" w:firstLineChars="200"/>
        <w:rPr>
          <w:rFonts w:hint="default" w:ascii="Times New Roman" w:hAnsi="Times New Roman" w:eastAsia="宋体" w:cs="Segoe UI"/>
          <w:color w:val="212529"/>
          <w:sz w:val="24"/>
          <w:lang w:val="en-US" w:eastAsia="zh-CN"/>
        </w:rPr>
      </w:pP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2、劳务分包商</w:t>
      </w:r>
      <w:r>
        <w:rPr>
          <w:rFonts w:hint="default" w:ascii="Times New Roman" w:hAnsi="Times New Roman" w:eastAsia="宋体" w:cs="Segoe UI"/>
          <w:color w:val="212529"/>
          <w:sz w:val="24"/>
          <w:lang w:val="en-US" w:eastAsia="zh-CN"/>
        </w:rPr>
        <w:t>负责安全文明施工及临时设施内容，包括但不限于施工地面区域卫生清扫、降尘、材料分类码放、作业隔离区及现场临时仓库、临水临电系统的维保、临时设施搭拆等。机械信号指挥、临时用电、高空作业的安全管理等。</w:t>
      </w:r>
    </w:p>
    <w:p w14:paraId="5A891135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3、劳务分包商</w:t>
      </w:r>
      <w:r>
        <w:rPr>
          <w:rFonts w:hint="default" w:ascii="Times New Roman" w:hAnsi="Times New Roman" w:eastAsia="宋体" w:cs="Segoe UI"/>
          <w:color w:val="212529"/>
          <w:sz w:val="24"/>
          <w:lang w:val="en-US" w:eastAsia="zh-CN"/>
        </w:rPr>
        <w:t>严格执行施工场地下发的安全文明施工手册内容或相关标准，不发生人身安全、机械设备等安全生产事故，确保安全文明施工合格工地。</w:t>
      </w:r>
    </w:p>
    <w:p w14:paraId="49EC01C0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  <w:highlight w:val="none"/>
        </w:rPr>
      </w:pP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Segoe UI"/>
          <w:color w:val="212529"/>
          <w:sz w:val="24"/>
        </w:rPr>
        <w:t>、总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</w:rPr>
        <w:t>工期为 1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</w:rPr>
        <w:t xml:space="preserve"> 天（不包含入场培训时间及因天气原因造成的施工延误时间），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</w:rPr>
        <w:t>接到通知后正式进场施工。</w:t>
      </w:r>
    </w:p>
    <w:p w14:paraId="1E4B6DB3">
      <w:pPr>
        <w:spacing w:line="360" w:lineRule="auto"/>
        <w:ind w:firstLine="480" w:firstLineChars="2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</w:rPr>
        <w:t>施工预计时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间为：2025 年 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日至 2025 年 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宋体" w:cs="Segoe UI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90F092A">
      <w:pPr>
        <w:spacing w:line="360" w:lineRule="auto"/>
        <w:rPr>
          <w:rFonts w:ascii="Times New Roman" w:hAnsi="Times New Roman" w:eastAsia="宋体" w:cs="Segoe UI"/>
          <w:b/>
          <w:bCs/>
          <w:color w:val="212529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212529"/>
          <w:sz w:val="24"/>
        </w:rPr>
        <w:t>三、劳务分包商</w:t>
      </w:r>
      <w:r>
        <w:rPr>
          <w:rFonts w:ascii="Segoe UI" w:hAnsi="Segoe UI" w:eastAsia="Segoe UI" w:cs="Segoe UI"/>
          <w:b/>
          <w:bCs/>
          <w:color w:val="333333"/>
          <w:sz w:val="24"/>
        </w:rPr>
        <w:t>要求</w:t>
      </w:r>
    </w:p>
    <w:p w14:paraId="178DEF4D">
      <w:pPr>
        <w:spacing w:line="360" w:lineRule="auto"/>
        <w:ind w:firstLine="480" w:firstLineChars="200"/>
        <w:rPr>
          <w:rFonts w:ascii="Times New Roman" w:hAnsi="Times New Roman" w:eastAsia="宋体" w:cs="Segoe UI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1、基本条件：中华人民共和国境内注册的独立</w:t>
      </w:r>
      <w:r>
        <w:rPr>
          <w:rFonts w:hint="eastAsia" w:ascii="Times New Roman" w:hAnsi="Times New Roman" w:eastAsia="宋体" w:cs="Segoe UI"/>
          <w:color w:val="000000" w:themeColor="text1"/>
          <w:sz w:val="24"/>
          <w14:textFill>
            <w14:solidFill>
              <w14:schemeClr w14:val="tx1"/>
            </w14:solidFill>
          </w14:textFill>
        </w:rPr>
        <w:t>法人</w:t>
      </w:r>
      <w:r>
        <w:rPr>
          <w:rFonts w:hint="eastAsia" w:ascii="Times New Roman" w:hAnsi="Times New Roman" w:eastAsia="宋体" w:cs="Segoe UI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Segoe UI"/>
          <w:color w:val="000000" w:themeColor="text1"/>
          <w:sz w:val="24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Times New Roman" w:hAnsi="Times New Roman" w:eastAsia="宋体" w:cs="Segoe UI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施工或劳务分包</w:t>
      </w:r>
      <w:r>
        <w:rPr>
          <w:rFonts w:hint="eastAsia" w:ascii="Times New Roman" w:hAnsi="Times New Roman" w:eastAsia="宋体" w:cs="Segoe UI"/>
          <w:color w:val="000000" w:themeColor="text1"/>
          <w:sz w:val="24"/>
          <w14:textFill>
            <w14:solidFill>
              <w14:schemeClr w14:val="tx1"/>
            </w14:solidFill>
          </w14:textFill>
        </w:rPr>
        <w:t>资质。</w:t>
      </w:r>
    </w:p>
    <w:p w14:paraId="0F73757E">
      <w:pPr>
        <w:spacing w:line="360" w:lineRule="auto"/>
        <w:ind w:firstLine="480" w:firstLineChars="200"/>
        <w:rPr>
          <w:rFonts w:ascii="Times New Roman" w:hAnsi="Times New Roman" w:eastAsia="宋体" w:cs="Segoe UI"/>
          <w:color w:val="212529"/>
          <w:sz w:val="24"/>
          <w:highlight w:val="yellow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2、信誉要求：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</w:rPr>
        <w:t>“信用中国”或“中国执行信息公开网”等平台无失信记录，无重大质量投诉或行政处罚。</w:t>
      </w:r>
    </w:p>
    <w:p w14:paraId="7789B057">
      <w:pPr>
        <w:spacing w:line="360" w:lineRule="auto"/>
        <w:ind w:firstLine="480" w:firstLineChars="2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3、税务要求：开具增值税专用发票。</w:t>
      </w:r>
    </w:p>
    <w:p w14:paraId="647D69F4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4、质量要求：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必须严格按照技术方案、施工图、监理规程、技术交底、合同文件中的技术规范和国家及水利部现行有关技术规范的要求，健立健全自检体系，采取必要的技术、工艺措施，精心组织施工，确保工程内优外美，保证工程质量达到标准的优良工程等级。</w:t>
      </w:r>
    </w:p>
    <w:p w14:paraId="5C51DF5E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Segoe UI"/>
          <w:color w:val="212529"/>
          <w:sz w:val="24"/>
        </w:rPr>
        <w:t>、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安全</w:t>
      </w:r>
      <w:r>
        <w:rPr>
          <w:rFonts w:hint="eastAsia" w:ascii="Times New Roman" w:hAnsi="Times New Roman" w:eastAsia="宋体" w:cs="Segoe UI"/>
          <w:color w:val="212529"/>
          <w:sz w:val="24"/>
        </w:rPr>
        <w:t>要求：严格按照《建筑施工安全操作规程》实行全过程的安全施工，提高双方人员的安全保护意识，确保双方人员的人身安全，杜绝各类责任事故发生</w:t>
      </w: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。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方在施工过程中发生的安全事故，均由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方全权负责、若产生法律责任与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采购方</w:t>
      </w:r>
      <w:r>
        <w:rPr>
          <w:rFonts w:hint="eastAsia" w:ascii="Times New Roman" w:hAnsi="Times New Roman" w:eastAsia="宋体" w:cs="Segoe UI"/>
          <w:color w:val="212529"/>
          <w:sz w:val="24"/>
        </w:rPr>
        <w:t xml:space="preserve">无关。 </w:t>
      </w:r>
    </w:p>
    <w:p w14:paraId="44C5CA8F">
      <w:pPr>
        <w:spacing w:line="360" w:lineRule="auto"/>
        <w:rPr>
          <w:rFonts w:ascii="Times New Roman" w:hAnsi="Times New Roman" w:eastAsia="宋体" w:cs="Segoe UI"/>
          <w:b/>
          <w:bCs/>
          <w:color w:val="212529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212529"/>
          <w:sz w:val="24"/>
        </w:rPr>
        <w:t>四、报名方式</w:t>
      </w:r>
    </w:p>
    <w:p w14:paraId="5C151C48">
      <w:pPr>
        <w:spacing w:line="360" w:lineRule="auto"/>
        <w:ind w:firstLine="480" w:firstLineChars="200"/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1、报名</w:t>
      </w:r>
      <w:r>
        <w:rPr>
          <w:rFonts w:hint="eastAsia" w:ascii="Times New Roman" w:hAnsi="Times New Roman" w:eastAsia="宋体" w:cs="Segoe UI"/>
          <w:color w:val="212529"/>
          <w:sz w:val="24"/>
          <w:highlight w:val="none"/>
        </w:rPr>
        <w:t>时间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日。</w:t>
      </w:r>
    </w:p>
    <w:p w14:paraId="67D55CD8">
      <w:pPr>
        <w:spacing w:line="360" w:lineRule="auto"/>
        <w:ind w:firstLine="480" w:firstLineChars="200"/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报名方式：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通过电子邮件将报价单和营业执照扫描件发送至指定邮箱。</w:t>
      </w:r>
    </w:p>
    <w:p w14:paraId="27FFFB35">
      <w:pPr>
        <w:spacing w:line="360" w:lineRule="auto"/>
        <w:ind w:firstLine="480" w:firstLineChars="200"/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3、报名文件内容：</w:t>
      </w:r>
    </w:p>
    <w:p w14:paraId="5FABB8B1">
      <w:pPr>
        <w:spacing w:line="360" w:lineRule="auto"/>
        <w:ind w:firstLine="480" w:firstLineChars="200"/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（1）报名单位的企业法人营业执照。</w:t>
      </w:r>
    </w:p>
    <w:p w14:paraId="5C9F51D2">
      <w:pPr>
        <w:spacing w:line="360" w:lineRule="auto"/>
        <w:ind w:firstLine="480" w:firstLineChars="200"/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（2）报价单（盖企业鲜章）。 </w:t>
      </w:r>
    </w:p>
    <w:p w14:paraId="096F224A">
      <w:pPr>
        <w:spacing w:line="360" w:lineRule="auto"/>
        <w:ind w:firstLine="480" w:firstLineChars="200"/>
        <w:rPr>
          <w:rFonts w:ascii="Times New Roman" w:hAnsi="Times New Roman" w:eastAsia="宋体" w:cs="Segoe UI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4、报名文件递交截止时间：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：00前</w:t>
      </w:r>
      <w:r>
        <w:rPr>
          <w:rFonts w:ascii="Times New Roman" w:hAnsi="Times New Roman" w:eastAsia="宋体" w:cs="Segoe U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F31227E">
      <w:pPr>
        <w:spacing w:line="360" w:lineRule="auto"/>
        <w:ind w:firstLine="480" w:firstLineChars="2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5、报名文件接收邮箱：keyanyuan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_</w:t>
      </w:r>
      <w:r>
        <w:rPr>
          <w:rFonts w:hint="eastAsia" w:ascii="Times New Roman" w:hAnsi="Times New Roman" w:eastAsia="宋体" w:cs="Segoe UI"/>
          <w:color w:val="212529"/>
          <w:sz w:val="24"/>
        </w:rPr>
        <w:t>202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Segoe UI"/>
          <w:color w:val="212529"/>
          <w:sz w:val="24"/>
        </w:rPr>
        <w:t>@163.com</w:t>
      </w:r>
    </w:p>
    <w:p w14:paraId="5D299082">
      <w:pPr>
        <w:spacing w:line="360" w:lineRule="auto"/>
        <w:ind w:firstLine="480" w:firstLineChars="200"/>
        <w:rPr>
          <w:rFonts w:hint="default" w:ascii="Times New Roman" w:hAnsi="Times New Roman" w:eastAsia="宋体" w:cs="Segoe UI"/>
          <w:color w:val="212529"/>
          <w:sz w:val="24"/>
          <w:lang w:val="en-US" w:eastAsia="zh-CN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6、报名联系人：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孙乙庭</w:t>
      </w:r>
      <w:r>
        <w:rPr>
          <w:rFonts w:hint="eastAsia" w:ascii="Times New Roman" w:hAnsi="Times New Roman" w:eastAsia="宋体" w:cs="Segoe UI"/>
          <w:color w:val="212529"/>
          <w:sz w:val="24"/>
        </w:rPr>
        <w:t xml:space="preserve"> ，联系电话：18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943975259</w:t>
      </w:r>
    </w:p>
    <w:p w14:paraId="7DEEB873">
      <w:pPr>
        <w:spacing w:line="360" w:lineRule="auto"/>
        <w:rPr>
          <w:rFonts w:ascii="Times New Roman" w:hAnsi="Times New Roman" w:eastAsia="宋体" w:cs="Segoe UI"/>
          <w:b/>
          <w:bCs/>
          <w:color w:val="212529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212529"/>
          <w:sz w:val="24"/>
        </w:rPr>
        <w:t>五、评审方式及合同签订</w:t>
      </w:r>
    </w:p>
    <w:p w14:paraId="07D33FCB">
      <w:pPr>
        <w:spacing w:line="360" w:lineRule="auto"/>
        <w:ind w:firstLine="480" w:firstLineChars="2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由采购小组根据潜在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的报价、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施工能力</w:t>
      </w:r>
      <w:r>
        <w:rPr>
          <w:rFonts w:hint="eastAsia" w:ascii="Times New Roman" w:hAnsi="Times New Roman" w:eastAsia="宋体" w:cs="Segoe UI"/>
          <w:color w:val="212529"/>
          <w:sz w:val="24"/>
        </w:rPr>
        <w:t>、售后服务等因素综合评价、分析、确定最终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，确定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后3个工作日内签订合同。</w:t>
      </w:r>
    </w:p>
    <w:p w14:paraId="52DB92E3">
      <w:pPr>
        <w:spacing w:line="360" w:lineRule="auto"/>
        <w:rPr>
          <w:rFonts w:ascii="Times New Roman" w:hAnsi="Times New Roman" w:eastAsia="宋体" w:cs="Segoe UI"/>
          <w:b/>
          <w:bCs/>
          <w:color w:val="212529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212529"/>
          <w:sz w:val="24"/>
        </w:rPr>
        <w:t>六</w:t>
      </w:r>
      <w:r>
        <w:rPr>
          <w:rFonts w:ascii="Times New Roman" w:hAnsi="Times New Roman" w:eastAsia="宋体" w:cs="Segoe UI"/>
          <w:b/>
          <w:bCs/>
          <w:color w:val="212529"/>
          <w:sz w:val="24"/>
        </w:rPr>
        <w:t>、付款方式</w:t>
      </w:r>
    </w:p>
    <w:p w14:paraId="3AC80057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</w:pP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以实际发生进行结算，合同期内分一次支付费用：</w:t>
      </w:r>
    </w:p>
    <w:p w14:paraId="04995575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</w:pP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合同签订后在全部施工完成并验收后10日内，支付费用为达实际发生总价款的97%；在质保期满一年后，进行第三次支付，支付剩余3%实际发生的总价款。</w:t>
      </w:r>
    </w:p>
    <w:p w14:paraId="6F1DA468">
      <w:pPr>
        <w:spacing w:line="360" w:lineRule="auto"/>
        <w:ind w:firstLine="480" w:firstLineChars="200"/>
        <w:rPr>
          <w:rFonts w:ascii="Segoe UI" w:hAnsi="Segoe UI" w:eastAsia="Segoe UI" w:cs="Segoe UI"/>
          <w:color w:val="333333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合同签订时劳务施工费适用的增值税税率为3%，若合同执行过程中遇到增值税率调整，增值税金额应以最终开具增值税专用发票金额为准，同时合同价中不含税的金额保持不变，含税合同价相应调整。</w:t>
      </w:r>
    </w:p>
    <w:p w14:paraId="7DC3B9F3">
      <w:pPr>
        <w:spacing w:line="360" w:lineRule="auto"/>
        <w:rPr>
          <w:rFonts w:ascii="Times New Roman" w:hAnsi="Times New Roman" w:eastAsia="宋体" w:cs="Segoe UI"/>
          <w:b/>
          <w:bCs/>
          <w:color w:val="212529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212529"/>
          <w:sz w:val="24"/>
        </w:rPr>
        <w:t>七</w:t>
      </w:r>
      <w:r>
        <w:rPr>
          <w:rFonts w:ascii="Times New Roman" w:hAnsi="Times New Roman" w:eastAsia="宋体" w:cs="Segoe UI"/>
          <w:b/>
          <w:bCs/>
          <w:color w:val="212529"/>
          <w:sz w:val="24"/>
        </w:rPr>
        <w:t>、售后服务条款</w:t>
      </w:r>
    </w:p>
    <w:p w14:paraId="0D1CCBA7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采购方</w:t>
      </w:r>
      <w:r>
        <w:rPr>
          <w:rFonts w:hint="eastAsia" w:ascii="Times New Roman" w:hAnsi="Times New Roman" w:eastAsia="宋体" w:cs="Segoe UI"/>
          <w:color w:val="212529"/>
          <w:sz w:val="24"/>
        </w:rPr>
        <w:t>变更增加工程量的，应提前 24小时向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出具书面工程量变更通知。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采购方</w:t>
      </w:r>
      <w:r>
        <w:rPr>
          <w:rFonts w:hint="eastAsia" w:ascii="Times New Roman" w:hAnsi="Times New Roman" w:eastAsia="宋体" w:cs="Segoe UI"/>
          <w:color w:val="212529"/>
          <w:sz w:val="24"/>
        </w:rPr>
        <w:t>减少工程量的，除向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出具书面工程量变更通知外，还需经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确认后方可生效。下列情况视为工程量变更，由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出具工程量变更报告，双方应协商增加费用：</w:t>
      </w:r>
    </w:p>
    <w:p w14:paraId="667A70FC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（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）</w:t>
      </w:r>
      <w:r>
        <w:rPr>
          <w:rFonts w:hint="eastAsia" w:ascii="Times New Roman" w:hAnsi="Times New Roman" w:eastAsia="宋体" w:cs="Segoe UI"/>
          <w:color w:val="212529"/>
          <w:sz w:val="24"/>
        </w:rPr>
        <w:t>施工过程中因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以外的原因导致的防水层破坏或渗漏；</w:t>
      </w:r>
    </w:p>
    <w:p w14:paraId="616347B3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（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）</w:t>
      </w:r>
      <w:r>
        <w:rPr>
          <w:rFonts w:hint="eastAsia" w:ascii="Times New Roman" w:hAnsi="Times New Roman" w:eastAsia="宋体" w:cs="Segoe UI"/>
          <w:color w:val="212529"/>
          <w:sz w:val="24"/>
        </w:rPr>
        <w:t>施工过程中因交叉作业或上下-道工序返工破坏防水层；</w:t>
      </w:r>
    </w:p>
    <w:p w14:paraId="622CBB24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（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3</w:t>
      </w: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）</w:t>
      </w:r>
      <w:r>
        <w:rPr>
          <w:rFonts w:hint="eastAsia" w:ascii="Times New Roman" w:hAnsi="Times New Roman" w:eastAsia="宋体" w:cs="Segoe UI"/>
          <w:color w:val="212529"/>
          <w:sz w:val="24"/>
        </w:rPr>
        <w:t>工程整体或分段交验后非因工程质量或材料质量导致的渗漏；</w:t>
      </w:r>
    </w:p>
    <w:p w14:paraId="137CE102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  <w:lang w:eastAsia="zh-CN"/>
        </w:rPr>
      </w:pP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（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）</w:t>
      </w:r>
      <w:r>
        <w:rPr>
          <w:rFonts w:hint="eastAsia" w:ascii="Times New Roman" w:hAnsi="Times New Roman" w:eastAsia="宋体" w:cs="Segoe UI"/>
          <w:color w:val="212529"/>
          <w:sz w:val="24"/>
        </w:rPr>
        <w:t>其它非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原因导致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工作量增加的情况</w:t>
      </w: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。</w:t>
      </w:r>
    </w:p>
    <w:p w14:paraId="1DDBCC8F">
      <w:pPr>
        <w:spacing w:line="360" w:lineRule="auto"/>
        <w:ind w:firstLine="480" w:firstLineChars="2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上述情况，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采购方</w:t>
      </w:r>
      <w:r>
        <w:rPr>
          <w:rFonts w:hint="eastAsia" w:ascii="Times New Roman" w:hAnsi="Times New Roman" w:eastAsia="宋体" w:cs="Segoe UI"/>
          <w:color w:val="212529"/>
          <w:sz w:val="24"/>
        </w:rPr>
        <w:t>在收到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工程量变更报告后，应书面回复；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采购方</w:t>
      </w:r>
      <w:r>
        <w:rPr>
          <w:rFonts w:hint="eastAsia" w:ascii="Times New Roman" w:hAnsi="Times New Roman" w:eastAsia="宋体" w:cs="Segoe UI"/>
          <w:color w:val="212529"/>
          <w:sz w:val="24"/>
        </w:rPr>
        <w:t>不予书面回复的，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劳务分包商</w:t>
      </w:r>
      <w:r>
        <w:rPr>
          <w:rFonts w:hint="eastAsia" w:ascii="Times New Roman" w:hAnsi="Times New Roman" w:eastAsia="宋体" w:cs="Segoe UI"/>
          <w:color w:val="212529"/>
          <w:sz w:val="24"/>
        </w:rPr>
        <w:t>可以拒绝维修或施工，造成的损失由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采购方</w:t>
      </w:r>
      <w:r>
        <w:rPr>
          <w:rFonts w:hint="eastAsia" w:ascii="Times New Roman" w:hAnsi="Times New Roman" w:eastAsia="宋体" w:cs="Segoe UI"/>
          <w:color w:val="212529"/>
          <w:sz w:val="24"/>
        </w:rPr>
        <w:t>承担。</w:t>
      </w:r>
    </w:p>
    <w:p w14:paraId="5241B549">
      <w:pPr>
        <w:spacing w:line="360" w:lineRule="auto"/>
        <w:rPr>
          <w:rFonts w:ascii="Times New Roman" w:hAnsi="Times New Roman" w:eastAsia="宋体" w:cs="Segoe UI"/>
          <w:b/>
          <w:bCs/>
          <w:color w:val="212529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212529"/>
          <w:sz w:val="24"/>
        </w:rPr>
        <w:t>八、联系方式</w:t>
      </w:r>
    </w:p>
    <w:p w14:paraId="49B7848A">
      <w:pPr>
        <w:spacing w:line="360" w:lineRule="auto"/>
        <w:ind w:firstLine="480" w:firstLineChars="2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采购联系人：隋伟，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Segoe UI"/>
          <w:color w:val="212529"/>
          <w:sz w:val="24"/>
        </w:rPr>
        <w:t xml:space="preserve">联系电话： 13844161719 </w:t>
      </w:r>
    </w:p>
    <w:p w14:paraId="7F385606">
      <w:pPr>
        <w:pStyle w:val="8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72BB0403">
      <w:pPr>
        <w:pStyle w:val="8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2AD590FB">
      <w:pPr>
        <w:pStyle w:val="8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6A7DD301">
      <w:pPr>
        <w:spacing w:line="360" w:lineRule="auto"/>
        <w:ind w:firstLine="4320" w:firstLineChars="18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中水东北勘测设计研究有限责任公司</w:t>
      </w:r>
    </w:p>
    <w:p w14:paraId="5515D16E">
      <w:pPr>
        <w:spacing w:line="360" w:lineRule="auto"/>
        <w:ind w:firstLine="5280" w:firstLineChars="2200"/>
        <w:rPr>
          <w:rFonts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2025年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9</w:t>
      </w:r>
      <w:r>
        <w:rPr>
          <w:rFonts w:hint="eastAsia" w:ascii="Times New Roman" w:hAnsi="Times New Roman" w:eastAsia="宋体" w:cs="Segoe UI"/>
          <w:color w:val="212529"/>
          <w:sz w:val="24"/>
        </w:rPr>
        <w:t>月</w:t>
      </w:r>
      <w:r>
        <w:rPr>
          <w:rFonts w:hint="eastAsia" w:ascii="Times New Roman" w:hAnsi="Times New Roman" w:eastAsia="宋体" w:cs="Segoe UI"/>
          <w:color w:val="212529"/>
          <w:sz w:val="24"/>
          <w:lang w:val="en-US" w:eastAsia="zh-CN"/>
        </w:rPr>
        <w:t>14</w:t>
      </w:r>
      <w:r>
        <w:rPr>
          <w:rFonts w:hint="eastAsia" w:ascii="Times New Roman" w:hAnsi="Times New Roman" w:eastAsia="宋体" w:cs="Segoe UI"/>
          <w:color w:val="212529"/>
          <w:sz w:val="24"/>
        </w:rPr>
        <w:t>日</w:t>
      </w:r>
    </w:p>
    <w:p w14:paraId="1077163A">
      <w:pPr>
        <w:pStyle w:val="3"/>
        <w:widowControl/>
        <w:pBdr>
          <w:bottom w:val="dashed" w:color="CCCCCC" w:sz="6" w:space="5"/>
        </w:pBdr>
        <w:spacing w:beforeAutospacing="0" w:afterAutospacing="0" w:line="15" w:lineRule="atLeast"/>
        <w:jc w:val="center"/>
        <w:rPr>
          <w:rFonts w:hint="default" w:ascii="Segoe UI" w:hAnsi="Segoe UI" w:eastAsia="Segoe UI" w:cs="Segoe UI"/>
          <w:color w:val="040000"/>
          <w:sz w:val="39"/>
          <w:szCs w:val="39"/>
        </w:rPr>
      </w:pPr>
    </w:p>
    <w:p w14:paraId="1EA42F63">
      <w:pPr>
        <w:rPr>
          <w:rFonts w:hint="eastAsia" w:ascii="Segoe UI" w:hAnsi="Segoe UI" w:eastAsia="宋体" w:cs="Segoe UI"/>
          <w:color w:val="333333"/>
          <w:sz w:val="24"/>
        </w:rPr>
      </w:pPr>
    </w:p>
    <w:p w14:paraId="6D0B483E">
      <w:pPr>
        <w:spacing w:line="360" w:lineRule="auto"/>
        <w:rPr>
          <w:rFonts w:ascii="Segoe UI" w:hAnsi="Segoe UI" w:eastAsia="宋体" w:cs="Segoe UI"/>
          <w:color w:val="333333"/>
          <w:sz w:val="24"/>
        </w:rPr>
      </w:pPr>
      <w:r>
        <w:rPr>
          <w:rFonts w:hint="eastAsia" w:ascii="Segoe UI" w:hAnsi="Segoe UI" w:eastAsia="宋体" w:cs="Segoe UI"/>
          <w:color w:val="333333"/>
          <w:sz w:val="24"/>
        </w:rPr>
        <w:t>附件：</w:t>
      </w:r>
    </w:p>
    <w:p w14:paraId="5FA8DA11">
      <w:pPr>
        <w:spacing w:line="360" w:lineRule="auto"/>
        <w:ind w:firstLine="480" w:firstLineChars="200"/>
        <w:rPr>
          <w:rFonts w:hint="eastAsia"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t>长春泵站厂房外墙防渗处理项目单组分聚脲防水</w:t>
      </w:r>
      <w:r>
        <w:rPr>
          <w:rFonts w:hint="eastAsia" w:ascii="Times New Roman" w:hAnsi="Times New Roman" w:eastAsia="宋体" w:cs="Segoe UI"/>
          <w:color w:val="212529"/>
          <w:sz w:val="24"/>
          <w:lang w:eastAsia="zh-CN"/>
        </w:rPr>
        <w:t>施工劳务分包</w:t>
      </w:r>
      <w:r>
        <w:rPr>
          <w:rFonts w:hint="eastAsia" w:ascii="Times New Roman" w:hAnsi="Times New Roman" w:eastAsia="宋体" w:cs="Segoe UI"/>
          <w:color w:val="212529"/>
          <w:sz w:val="24"/>
        </w:rPr>
        <w:t>采购报价清单</w:t>
      </w:r>
    </w:p>
    <w:p w14:paraId="12F73643">
      <w:pPr>
        <w:rPr>
          <w:rFonts w:hint="eastAsia" w:ascii="Times New Roman" w:hAnsi="Times New Roman" w:eastAsia="宋体" w:cs="Segoe UI"/>
          <w:color w:val="212529"/>
          <w:sz w:val="24"/>
        </w:rPr>
      </w:pPr>
      <w:r>
        <w:rPr>
          <w:rFonts w:hint="eastAsia" w:ascii="Times New Roman" w:hAnsi="Times New Roman" w:eastAsia="宋体" w:cs="Segoe UI"/>
          <w:color w:val="212529"/>
          <w:sz w:val="24"/>
        </w:rPr>
        <w:br w:type="page"/>
      </w:r>
    </w:p>
    <w:tbl>
      <w:tblPr>
        <w:tblStyle w:val="9"/>
        <w:tblW w:w="9880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498"/>
        <w:gridCol w:w="1071"/>
        <w:gridCol w:w="1103"/>
        <w:gridCol w:w="1378"/>
        <w:gridCol w:w="1273"/>
        <w:gridCol w:w="1056"/>
      </w:tblGrid>
      <w:tr w14:paraId="7935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89B1">
            <w:pPr>
              <w:pStyle w:val="3"/>
              <w:widowControl/>
              <w:pBdr>
                <w:bottom w:val="dashed" w:color="CCCCCC" w:sz="6" w:space="5"/>
              </w:pBdr>
              <w:spacing w:beforeAutospacing="0" w:afterAutospacing="0" w:line="15" w:lineRule="atLeast"/>
              <w:jc w:val="center"/>
              <w:rPr>
                <w:rFonts w:hint="default" w:ascii="Segoe UI" w:hAnsi="Segoe UI" w:eastAsia="Segoe UI" w:cs="Segoe UI"/>
                <w:color w:val="040000"/>
                <w:sz w:val="28"/>
                <w:szCs w:val="28"/>
              </w:rPr>
            </w:pPr>
            <w:r>
              <w:rPr>
                <w:rFonts w:hint="eastAsia" w:ascii="Segoe UI" w:hAnsi="Segoe UI" w:cs="Segoe UI"/>
                <w:color w:val="040000"/>
                <w:sz w:val="28"/>
                <w:szCs w:val="28"/>
                <w:lang w:val="en-US" w:eastAsia="zh-CN"/>
              </w:rPr>
              <w:t>长春泵站厂房外墙防渗处理</w:t>
            </w:r>
            <w:r>
              <w:rPr>
                <w:rFonts w:hint="default" w:ascii="Segoe UI" w:hAnsi="Segoe UI" w:eastAsia="Segoe UI" w:cs="Segoe UI"/>
                <w:color w:val="040000"/>
                <w:sz w:val="28"/>
                <w:szCs w:val="28"/>
              </w:rPr>
              <w:t>项目单组分聚脲防水</w:t>
            </w:r>
            <w:bookmarkStart w:id="0" w:name="_GoBack"/>
            <w:bookmarkEnd w:id="0"/>
          </w:p>
          <w:p w14:paraId="0E4FC9F6">
            <w:pPr>
              <w:pStyle w:val="3"/>
              <w:widowControl/>
              <w:pBdr>
                <w:bottom w:val="dashed" w:color="CCCCCC" w:sz="6" w:space="5"/>
              </w:pBdr>
              <w:spacing w:beforeAutospacing="0" w:afterAutospacing="0" w:line="15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Segoe UI" w:hAnsi="Segoe UI" w:cs="Segoe UI"/>
                <w:color w:val="040000"/>
                <w:sz w:val="28"/>
                <w:szCs w:val="28"/>
                <w:lang w:val="en-US" w:eastAsia="zh-CN"/>
              </w:rPr>
              <w:t>施工劳务分包采购报价清单</w:t>
            </w:r>
          </w:p>
        </w:tc>
      </w:tr>
      <w:tr w14:paraId="7E3A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单价</w:t>
            </w:r>
            <w:r>
              <w:rPr>
                <w:rStyle w:val="17"/>
                <w:rFonts w:eastAsia="宋体"/>
                <w:lang w:val="en-US" w:eastAsia="zh-CN" w:bidi="ar"/>
              </w:rPr>
              <w:t>(</w:t>
            </w:r>
            <w:r>
              <w:rPr>
                <w:rStyle w:val="16"/>
                <w:lang w:val="en-US" w:eastAsia="zh-CN" w:bidi="ar"/>
              </w:rPr>
              <w:t>元</w:t>
            </w:r>
            <w:r>
              <w:rPr>
                <w:rStyle w:val="1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合价</w:t>
            </w:r>
            <w:r>
              <w:rPr>
                <w:rStyle w:val="17"/>
                <w:rFonts w:eastAsia="宋体"/>
                <w:lang w:val="en-US" w:eastAsia="zh-CN" w:bidi="ar"/>
              </w:rPr>
              <w:t>(</w:t>
            </w:r>
            <w:r>
              <w:rPr>
                <w:rStyle w:val="16"/>
                <w:lang w:val="en-US" w:eastAsia="zh-CN" w:bidi="ar"/>
              </w:rPr>
              <w:t>元</w:t>
            </w:r>
            <w:r>
              <w:rPr>
                <w:rStyle w:val="1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A5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厂房外墙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(包括</w:t>
            </w:r>
            <w:r>
              <w:rPr>
                <w:rFonts w:hint="default" w:ascii="Times New Roman" w:hAnsi="Times New Roman" w:eastAsia="宋体" w:cs="Times New Roman"/>
                <w:color w:val="212529"/>
                <w:sz w:val="24"/>
                <w:szCs w:val="24"/>
                <w:lang w:val="en-US" w:eastAsia="zh-CN"/>
              </w:rPr>
              <w:t>基面处理</w:t>
            </w:r>
            <w:r>
              <w:rPr>
                <w:rFonts w:hint="default" w:ascii="Times New Roman" w:hAnsi="Times New Roman" w:eastAsia="宋体" w:cs="Times New Roman"/>
                <w:color w:val="212529"/>
                <w:sz w:val="24"/>
                <w:szCs w:val="24"/>
              </w:rPr>
              <w:t>、涂刷底剂、刮腻子、刮涂单组分聚脲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，其中聚脲层厚度不小于2mm)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等线"/>
                <w:lang w:val="en-US" w:eastAsia="zh-CN" w:bidi="ar"/>
              </w:rPr>
              <w:t>m</w:t>
            </w:r>
            <w:r>
              <w:rPr>
                <w:rStyle w:val="19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DF5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BE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E2E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C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9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1"/>
                <w:rFonts w:eastAsia="宋体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>说明：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</w:t>
            </w:r>
            <w:r>
              <w:rPr>
                <w:rStyle w:val="20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20"/>
                <w:lang w:val="en-US" w:eastAsia="zh-CN" w:bidi="ar"/>
              </w:rPr>
              <w:t xml:space="preserve"> </w:t>
            </w:r>
            <w:r>
              <w:rPr>
                <w:rStyle w:val="21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、以上报价为含税价，包含运费、装车费、调试费、培训费、税费、保险费等；</w:t>
            </w:r>
            <w:r>
              <w:rPr>
                <w:rStyle w:val="2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      2</w:t>
            </w:r>
            <w:r>
              <w:rPr>
                <w:rStyle w:val="20"/>
                <w:lang w:val="en-US" w:eastAsia="zh-CN" w:bidi="ar"/>
              </w:rPr>
              <w:t>、需提供增值税专用发票；</w:t>
            </w:r>
            <w:r>
              <w:rPr>
                <w:rStyle w:val="2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      3</w:t>
            </w:r>
            <w:r>
              <w:rPr>
                <w:rStyle w:val="20"/>
                <w:lang w:val="en-US" w:eastAsia="zh-CN" w:bidi="ar"/>
              </w:rPr>
              <w:t>、工程数量预估为</w:t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1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000m</w:t>
            </w:r>
            <w:r>
              <w:rPr>
                <w:rStyle w:val="21"/>
                <w:rFonts w:hint="eastAsia" w:eastAsia="宋体"/>
                <w:vertAlign w:val="superscript"/>
                <w:lang w:val="en-US" w:eastAsia="zh-CN" w:bidi="ar"/>
              </w:rPr>
              <w:t>2</w:t>
            </w:r>
            <w:r>
              <w:rPr>
                <w:rStyle w:val="20"/>
                <w:lang w:val="en-US" w:eastAsia="zh-CN" w:bidi="ar"/>
              </w:rPr>
              <w:t>，最终以实际施工面积为准（经双方共同确认为准）；</w:t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</w:t>
            </w:r>
          </w:p>
          <w:p w14:paraId="77A79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lang w:val="en-US" w:eastAsia="zh-CN" w:bidi="ar"/>
              </w:rPr>
            </w:pPr>
            <w:r>
              <w:rPr>
                <w:rStyle w:val="21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4</w:t>
            </w:r>
            <w:r>
              <w:rPr>
                <w:rStyle w:val="20"/>
                <w:lang w:val="en-US" w:eastAsia="zh-CN" w:bidi="ar"/>
              </w:rPr>
              <w:t>、采购方提供材料，承包方负责施工，单价包含一切施工费用，不作任何调整。</w:t>
            </w:r>
          </w:p>
          <w:p w14:paraId="07CA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/>
                <w:lang w:val="en-US" w:eastAsia="zh-CN" w:bidi="ar"/>
              </w:rPr>
            </w:pPr>
          </w:p>
        </w:tc>
      </w:tr>
      <w:tr w14:paraId="49F1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报价单位：</w:t>
            </w:r>
          </w:p>
        </w:tc>
        <w:tc>
          <w:tcPr>
            <w:tcW w:w="2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73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91EF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F69B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56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CCD0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EAF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F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单位地址：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682A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AB2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874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9D2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F908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1F8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D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联</w:t>
            </w:r>
            <w:r>
              <w:rPr>
                <w:rStyle w:val="21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20"/>
                <w:lang w:val="en-US" w:eastAsia="zh-CN" w:bidi="ar"/>
              </w:rPr>
              <w:t>系</w:t>
            </w:r>
            <w:r>
              <w:rPr>
                <w:rStyle w:val="21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20"/>
                <w:lang w:val="en-US" w:eastAsia="zh-CN" w:bidi="ar"/>
              </w:rPr>
              <w:t>人：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39C8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15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8BF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E0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46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2F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2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联系电话：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004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4E0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C4E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1CE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AB6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0AF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D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9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日</w:t>
            </w:r>
            <w:r>
              <w:rPr>
                <w:rStyle w:val="21"/>
                <w:rFonts w:eastAsia="等线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期：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3E0A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AE93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15279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9125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8E40D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300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C7DA95"/>
    <w:p w14:paraId="44DF76E9">
      <w:pPr>
        <w:pStyle w:val="2"/>
        <w:numPr>
          <w:ilvl w:val="0"/>
          <w:numId w:val="0"/>
        </w:numPr>
        <w:ind w:leftChars="0"/>
      </w:pPr>
    </w:p>
    <w:p w14:paraId="07E2203C">
      <w:pPr>
        <w:spacing w:line="360" w:lineRule="auto"/>
        <w:rPr>
          <w:rFonts w:ascii="Times New Roman" w:hAnsi="Times New Roman" w:eastAsia="宋体" w:cs="Segoe UI"/>
          <w:color w:val="212529"/>
          <w:sz w:val="24"/>
        </w:rPr>
      </w:pPr>
    </w:p>
    <w:p w14:paraId="52EC08B8">
      <w:pPr>
        <w:spacing w:line="360" w:lineRule="auto"/>
        <w:rPr>
          <w:rFonts w:ascii="Times New Roman" w:hAnsi="Times New Roman" w:eastAsia="宋体" w:cs="Segoe UI"/>
          <w:color w:val="212529"/>
          <w:sz w:val="24"/>
        </w:rPr>
      </w:pPr>
    </w:p>
    <w:p w14:paraId="14540228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p w14:paraId="232DAEEC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p w14:paraId="6E197619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p w14:paraId="37894537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DCB3B"/>
    <w:multiLevelType w:val="singleLevel"/>
    <w:tmpl w:val="5C2DCB3B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3E2FA4"/>
    <w:rsid w:val="00000304"/>
    <w:rsid w:val="00013C3D"/>
    <w:rsid w:val="000157EC"/>
    <w:rsid w:val="00030016"/>
    <w:rsid w:val="000301D7"/>
    <w:rsid w:val="00037866"/>
    <w:rsid w:val="0005644B"/>
    <w:rsid w:val="00072252"/>
    <w:rsid w:val="00074D57"/>
    <w:rsid w:val="00083A7E"/>
    <w:rsid w:val="000A294E"/>
    <w:rsid w:val="000A366B"/>
    <w:rsid w:val="000B5760"/>
    <w:rsid w:val="000F2016"/>
    <w:rsid w:val="00102304"/>
    <w:rsid w:val="001026A1"/>
    <w:rsid w:val="00122645"/>
    <w:rsid w:val="0012387E"/>
    <w:rsid w:val="001259E1"/>
    <w:rsid w:val="001306F7"/>
    <w:rsid w:val="00140C26"/>
    <w:rsid w:val="00141210"/>
    <w:rsid w:val="00152B82"/>
    <w:rsid w:val="00153F4A"/>
    <w:rsid w:val="00156296"/>
    <w:rsid w:val="001640C8"/>
    <w:rsid w:val="00164DCD"/>
    <w:rsid w:val="00167445"/>
    <w:rsid w:val="00175B90"/>
    <w:rsid w:val="0019600D"/>
    <w:rsid w:val="001D4F64"/>
    <w:rsid w:val="001E2CEC"/>
    <w:rsid w:val="001E5F15"/>
    <w:rsid w:val="001E6EB6"/>
    <w:rsid w:val="001F50CF"/>
    <w:rsid w:val="00266DE2"/>
    <w:rsid w:val="00274512"/>
    <w:rsid w:val="002817CA"/>
    <w:rsid w:val="002A480C"/>
    <w:rsid w:val="002B2D2C"/>
    <w:rsid w:val="002B5736"/>
    <w:rsid w:val="002E0941"/>
    <w:rsid w:val="002E2044"/>
    <w:rsid w:val="002E5296"/>
    <w:rsid w:val="002E5C4B"/>
    <w:rsid w:val="002F192A"/>
    <w:rsid w:val="002F541A"/>
    <w:rsid w:val="00311DDC"/>
    <w:rsid w:val="00311FCE"/>
    <w:rsid w:val="00331F9A"/>
    <w:rsid w:val="00350E3E"/>
    <w:rsid w:val="003613EC"/>
    <w:rsid w:val="00384CD9"/>
    <w:rsid w:val="003B7DAF"/>
    <w:rsid w:val="003C112D"/>
    <w:rsid w:val="003C3151"/>
    <w:rsid w:val="003E2FA4"/>
    <w:rsid w:val="003E5DE9"/>
    <w:rsid w:val="0040752E"/>
    <w:rsid w:val="00423D53"/>
    <w:rsid w:val="004A59F6"/>
    <w:rsid w:val="004A6799"/>
    <w:rsid w:val="004B5AB5"/>
    <w:rsid w:val="004C0630"/>
    <w:rsid w:val="004F744D"/>
    <w:rsid w:val="0050559D"/>
    <w:rsid w:val="00520054"/>
    <w:rsid w:val="00521BD6"/>
    <w:rsid w:val="00526534"/>
    <w:rsid w:val="00531BD9"/>
    <w:rsid w:val="00554468"/>
    <w:rsid w:val="005549F8"/>
    <w:rsid w:val="0056553E"/>
    <w:rsid w:val="00570A27"/>
    <w:rsid w:val="00582546"/>
    <w:rsid w:val="005831E8"/>
    <w:rsid w:val="00587FA6"/>
    <w:rsid w:val="005B51D3"/>
    <w:rsid w:val="005D02DF"/>
    <w:rsid w:val="005E59B0"/>
    <w:rsid w:val="005E629D"/>
    <w:rsid w:val="00607BEA"/>
    <w:rsid w:val="006131F0"/>
    <w:rsid w:val="006420A9"/>
    <w:rsid w:val="00642CE6"/>
    <w:rsid w:val="00643091"/>
    <w:rsid w:val="006634D8"/>
    <w:rsid w:val="006804FD"/>
    <w:rsid w:val="00681A7C"/>
    <w:rsid w:val="00685442"/>
    <w:rsid w:val="006A70EC"/>
    <w:rsid w:val="006B03C0"/>
    <w:rsid w:val="006D0F7A"/>
    <w:rsid w:val="006D73BE"/>
    <w:rsid w:val="006E0144"/>
    <w:rsid w:val="006E1D6A"/>
    <w:rsid w:val="00717C25"/>
    <w:rsid w:val="00730821"/>
    <w:rsid w:val="0073404A"/>
    <w:rsid w:val="00741322"/>
    <w:rsid w:val="00741FB5"/>
    <w:rsid w:val="0074717F"/>
    <w:rsid w:val="00751241"/>
    <w:rsid w:val="00766C30"/>
    <w:rsid w:val="007728BD"/>
    <w:rsid w:val="00780533"/>
    <w:rsid w:val="007C0925"/>
    <w:rsid w:val="007C3499"/>
    <w:rsid w:val="007D0582"/>
    <w:rsid w:val="007D1615"/>
    <w:rsid w:val="007D185E"/>
    <w:rsid w:val="007E46C1"/>
    <w:rsid w:val="007F0A0B"/>
    <w:rsid w:val="007F1F56"/>
    <w:rsid w:val="007F2B32"/>
    <w:rsid w:val="00801CBA"/>
    <w:rsid w:val="00806DFF"/>
    <w:rsid w:val="00807B1D"/>
    <w:rsid w:val="00844594"/>
    <w:rsid w:val="00847D56"/>
    <w:rsid w:val="00865CE0"/>
    <w:rsid w:val="00877AD8"/>
    <w:rsid w:val="008A2134"/>
    <w:rsid w:val="008A3493"/>
    <w:rsid w:val="008B4358"/>
    <w:rsid w:val="008B760F"/>
    <w:rsid w:val="008C4A1C"/>
    <w:rsid w:val="008E2723"/>
    <w:rsid w:val="008E4F9B"/>
    <w:rsid w:val="009045F2"/>
    <w:rsid w:val="009262D5"/>
    <w:rsid w:val="00936FA4"/>
    <w:rsid w:val="009559D7"/>
    <w:rsid w:val="00961FBA"/>
    <w:rsid w:val="00981007"/>
    <w:rsid w:val="00987309"/>
    <w:rsid w:val="0099203E"/>
    <w:rsid w:val="009A3EE4"/>
    <w:rsid w:val="009C20F2"/>
    <w:rsid w:val="009C3515"/>
    <w:rsid w:val="009C3B5F"/>
    <w:rsid w:val="009C69F4"/>
    <w:rsid w:val="009F0AE7"/>
    <w:rsid w:val="009F6A00"/>
    <w:rsid w:val="00A143CD"/>
    <w:rsid w:val="00A54E4C"/>
    <w:rsid w:val="00A57A87"/>
    <w:rsid w:val="00A667B3"/>
    <w:rsid w:val="00A705E3"/>
    <w:rsid w:val="00A842CC"/>
    <w:rsid w:val="00A84C0B"/>
    <w:rsid w:val="00A86C26"/>
    <w:rsid w:val="00A90589"/>
    <w:rsid w:val="00AA013C"/>
    <w:rsid w:val="00AA01B6"/>
    <w:rsid w:val="00AC12C6"/>
    <w:rsid w:val="00AC2208"/>
    <w:rsid w:val="00AD05DE"/>
    <w:rsid w:val="00AE607A"/>
    <w:rsid w:val="00AE6430"/>
    <w:rsid w:val="00AF1157"/>
    <w:rsid w:val="00AF1B72"/>
    <w:rsid w:val="00B17BE1"/>
    <w:rsid w:val="00B21FC4"/>
    <w:rsid w:val="00B229D6"/>
    <w:rsid w:val="00B44801"/>
    <w:rsid w:val="00B52637"/>
    <w:rsid w:val="00B560AD"/>
    <w:rsid w:val="00B6021C"/>
    <w:rsid w:val="00BA5623"/>
    <w:rsid w:val="00BB1C00"/>
    <w:rsid w:val="00BB29AE"/>
    <w:rsid w:val="00BB3637"/>
    <w:rsid w:val="00BD24A7"/>
    <w:rsid w:val="00C029D1"/>
    <w:rsid w:val="00C100EE"/>
    <w:rsid w:val="00C147C1"/>
    <w:rsid w:val="00C17895"/>
    <w:rsid w:val="00C24387"/>
    <w:rsid w:val="00C2787C"/>
    <w:rsid w:val="00C305E0"/>
    <w:rsid w:val="00C35D90"/>
    <w:rsid w:val="00C4325D"/>
    <w:rsid w:val="00C760BB"/>
    <w:rsid w:val="00C91B58"/>
    <w:rsid w:val="00C94A25"/>
    <w:rsid w:val="00C962F3"/>
    <w:rsid w:val="00C96520"/>
    <w:rsid w:val="00C978D9"/>
    <w:rsid w:val="00CA1160"/>
    <w:rsid w:val="00D17B1E"/>
    <w:rsid w:val="00D31663"/>
    <w:rsid w:val="00D33E7A"/>
    <w:rsid w:val="00D42060"/>
    <w:rsid w:val="00D72130"/>
    <w:rsid w:val="00DA1894"/>
    <w:rsid w:val="00DB7BCE"/>
    <w:rsid w:val="00DD4FFB"/>
    <w:rsid w:val="00DF51F2"/>
    <w:rsid w:val="00E10640"/>
    <w:rsid w:val="00E1100A"/>
    <w:rsid w:val="00E17479"/>
    <w:rsid w:val="00E245DF"/>
    <w:rsid w:val="00E32FD0"/>
    <w:rsid w:val="00E43515"/>
    <w:rsid w:val="00E5270D"/>
    <w:rsid w:val="00E57EA2"/>
    <w:rsid w:val="00E717F6"/>
    <w:rsid w:val="00E73874"/>
    <w:rsid w:val="00E822A7"/>
    <w:rsid w:val="00E922C6"/>
    <w:rsid w:val="00E95008"/>
    <w:rsid w:val="00E979F4"/>
    <w:rsid w:val="00EB0FCA"/>
    <w:rsid w:val="00EC562B"/>
    <w:rsid w:val="00ED2280"/>
    <w:rsid w:val="00EF35B2"/>
    <w:rsid w:val="00F30627"/>
    <w:rsid w:val="00F331D3"/>
    <w:rsid w:val="00F405C6"/>
    <w:rsid w:val="00F40DED"/>
    <w:rsid w:val="00F4405F"/>
    <w:rsid w:val="00F45698"/>
    <w:rsid w:val="00F644D5"/>
    <w:rsid w:val="00F74E26"/>
    <w:rsid w:val="00F812B5"/>
    <w:rsid w:val="00F93505"/>
    <w:rsid w:val="00F957AF"/>
    <w:rsid w:val="00FA67CA"/>
    <w:rsid w:val="00FA6FEA"/>
    <w:rsid w:val="00FA7B9A"/>
    <w:rsid w:val="00FB4A7E"/>
    <w:rsid w:val="00FD649D"/>
    <w:rsid w:val="00FE3AB7"/>
    <w:rsid w:val="00FE51A1"/>
    <w:rsid w:val="010B5E36"/>
    <w:rsid w:val="01A25D2A"/>
    <w:rsid w:val="01AA6650"/>
    <w:rsid w:val="01C21643"/>
    <w:rsid w:val="01EC460F"/>
    <w:rsid w:val="021363E3"/>
    <w:rsid w:val="025A7535"/>
    <w:rsid w:val="025E6D24"/>
    <w:rsid w:val="02B324BB"/>
    <w:rsid w:val="04090220"/>
    <w:rsid w:val="04340999"/>
    <w:rsid w:val="052F5DC4"/>
    <w:rsid w:val="057E16E1"/>
    <w:rsid w:val="05B253C5"/>
    <w:rsid w:val="05CD0207"/>
    <w:rsid w:val="061D5EC7"/>
    <w:rsid w:val="06C40BF1"/>
    <w:rsid w:val="07556666"/>
    <w:rsid w:val="08CC2B6C"/>
    <w:rsid w:val="0982407A"/>
    <w:rsid w:val="09951B5B"/>
    <w:rsid w:val="09A73AE8"/>
    <w:rsid w:val="09C000DC"/>
    <w:rsid w:val="09F61C47"/>
    <w:rsid w:val="0A066A4E"/>
    <w:rsid w:val="0B1F5D0F"/>
    <w:rsid w:val="0B364AC0"/>
    <w:rsid w:val="0B65120F"/>
    <w:rsid w:val="0C3A5F21"/>
    <w:rsid w:val="0CF4762B"/>
    <w:rsid w:val="0D4B38AD"/>
    <w:rsid w:val="0DDD7132"/>
    <w:rsid w:val="0E18087F"/>
    <w:rsid w:val="0E3F0A4A"/>
    <w:rsid w:val="0E7248E1"/>
    <w:rsid w:val="0EA731E4"/>
    <w:rsid w:val="0FB21C8E"/>
    <w:rsid w:val="101A75C3"/>
    <w:rsid w:val="113D5A24"/>
    <w:rsid w:val="114A5057"/>
    <w:rsid w:val="11CC1217"/>
    <w:rsid w:val="121107B8"/>
    <w:rsid w:val="12326FC4"/>
    <w:rsid w:val="124D7071"/>
    <w:rsid w:val="12B905FC"/>
    <w:rsid w:val="12FC0BA8"/>
    <w:rsid w:val="130152C1"/>
    <w:rsid w:val="13BC5924"/>
    <w:rsid w:val="13EC0401"/>
    <w:rsid w:val="14A62B67"/>
    <w:rsid w:val="14BB032D"/>
    <w:rsid w:val="14BB772A"/>
    <w:rsid w:val="150470C5"/>
    <w:rsid w:val="15285D35"/>
    <w:rsid w:val="161B632B"/>
    <w:rsid w:val="164833B1"/>
    <w:rsid w:val="16CB4A7B"/>
    <w:rsid w:val="17445C6D"/>
    <w:rsid w:val="177C0A75"/>
    <w:rsid w:val="181C5609"/>
    <w:rsid w:val="18EA1C19"/>
    <w:rsid w:val="19B50CFF"/>
    <w:rsid w:val="1A622E56"/>
    <w:rsid w:val="1A9044A5"/>
    <w:rsid w:val="1AB21C1C"/>
    <w:rsid w:val="1AC24819"/>
    <w:rsid w:val="1AFA4EFA"/>
    <w:rsid w:val="1B6A7836"/>
    <w:rsid w:val="1B7C500C"/>
    <w:rsid w:val="1B957281"/>
    <w:rsid w:val="1D62332B"/>
    <w:rsid w:val="1D80290A"/>
    <w:rsid w:val="1EB07D51"/>
    <w:rsid w:val="1F175EBF"/>
    <w:rsid w:val="1FE607D7"/>
    <w:rsid w:val="206033AC"/>
    <w:rsid w:val="20AB7DB4"/>
    <w:rsid w:val="219A4C52"/>
    <w:rsid w:val="21E001F5"/>
    <w:rsid w:val="223B6F0D"/>
    <w:rsid w:val="225F1C7A"/>
    <w:rsid w:val="22A31992"/>
    <w:rsid w:val="231C3D5A"/>
    <w:rsid w:val="231D1D07"/>
    <w:rsid w:val="2360601A"/>
    <w:rsid w:val="240013B4"/>
    <w:rsid w:val="25042D5D"/>
    <w:rsid w:val="253E7F1D"/>
    <w:rsid w:val="25652D01"/>
    <w:rsid w:val="26B31E1D"/>
    <w:rsid w:val="27BF32E1"/>
    <w:rsid w:val="27D5045B"/>
    <w:rsid w:val="288A4C34"/>
    <w:rsid w:val="28956780"/>
    <w:rsid w:val="297B0873"/>
    <w:rsid w:val="29951A42"/>
    <w:rsid w:val="29D54448"/>
    <w:rsid w:val="2A010E93"/>
    <w:rsid w:val="2B5939BB"/>
    <w:rsid w:val="2B6C15D4"/>
    <w:rsid w:val="2B710655"/>
    <w:rsid w:val="2B8B05D4"/>
    <w:rsid w:val="2C1820C1"/>
    <w:rsid w:val="2C2876D4"/>
    <w:rsid w:val="2C491CC9"/>
    <w:rsid w:val="2E436BDD"/>
    <w:rsid w:val="2F857307"/>
    <w:rsid w:val="2FC16365"/>
    <w:rsid w:val="30B807F1"/>
    <w:rsid w:val="30F92596"/>
    <w:rsid w:val="31086A06"/>
    <w:rsid w:val="314B5107"/>
    <w:rsid w:val="3296039F"/>
    <w:rsid w:val="334C30BD"/>
    <w:rsid w:val="33767A2F"/>
    <w:rsid w:val="33E17583"/>
    <w:rsid w:val="33F86DCF"/>
    <w:rsid w:val="340357B4"/>
    <w:rsid w:val="34146E9F"/>
    <w:rsid w:val="34361BF4"/>
    <w:rsid w:val="34534C50"/>
    <w:rsid w:val="34D629A4"/>
    <w:rsid w:val="34D92B92"/>
    <w:rsid w:val="363314DA"/>
    <w:rsid w:val="36663079"/>
    <w:rsid w:val="36B43305"/>
    <w:rsid w:val="36D1070C"/>
    <w:rsid w:val="383303AC"/>
    <w:rsid w:val="39563F0E"/>
    <w:rsid w:val="398E539D"/>
    <w:rsid w:val="39E054E2"/>
    <w:rsid w:val="3A4B537A"/>
    <w:rsid w:val="3AC31FCC"/>
    <w:rsid w:val="3AFB071C"/>
    <w:rsid w:val="3B4F6236"/>
    <w:rsid w:val="3B5375FD"/>
    <w:rsid w:val="3BA63790"/>
    <w:rsid w:val="3C2B6E82"/>
    <w:rsid w:val="3C7E2115"/>
    <w:rsid w:val="3E2F2D08"/>
    <w:rsid w:val="3E56152B"/>
    <w:rsid w:val="3E905930"/>
    <w:rsid w:val="3EA52457"/>
    <w:rsid w:val="3FAD30A9"/>
    <w:rsid w:val="3FD83A05"/>
    <w:rsid w:val="400765BB"/>
    <w:rsid w:val="408D7EC1"/>
    <w:rsid w:val="40FB06BE"/>
    <w:rsid w:val="411E2D83"/>
    <w:rsid w:val="41321789"/>
    <w:rsid w:val="41855EC4"/>
    <w:rsid w:val="422C6838"/>
    <w:rsid w:val="42993D92"/>
    <w:rsid w:val="434B27AB"/>
    <w:rsid w:val="434C4EBE"/>
    <w:rsid w:val="435648B4"/>
    <w:rsid w:val="4378685D"/>
    <w:rsid w:val="43E1791E"/>
    <w:rsid w:val="44277BEC"/>
    <w:rsid w:val="4525161B"/>
    <w:rsid w:val="459733AF"/>
    <w:rsid w:val="466039C7"/>
    <w:rsid w:val="46712533"/>
    <w:rsid w:val="46BA00EB"/>
    <w:rsid w:val="46D35DC7"/>
    <w:rsid w:val="46E958E0"/>
    <w:rsid w:val="471528D7"/>
    <w:rsid w:val="47857D89"/>
    <w:rsid w:val="47C50A1B"/>
    <w:rsid w:val="481C7CEE"/>
    <w:rsid w:val="494756E2"/>
    <w:rsid w:val="499047A9"/>
    <w:rsid w:val="4A067E94"/>
    <w:rsid w:val="4A3F62E9"/>
    <w:rsid w:val="4BA677FA"/>
    <w:rsid w:val="4C551EDA"/>
    <w:rsid w:val="4C9041D9"/>
    <w:rsid w:val="4DA02EFE"/>
    <w:rsid w:val="4E1A180F"/>
    <w:rsid w:val="4E6636D0"/>
    <w:rsid w:val="4E914D2B"/>
    <w:rsid w:val="4F8D3A60"/>
    <w:rsid w:val="4FB35B99"/>
    <w:rsid w:val="504F2872"/>
    <w:rsid w:val="50CC58E5"/>
    <w:rsid w:val="50F301D2"/>
    <w:rsid w:val="51831F03"/>
    <w:rsid w:val="52423AE7"/>
    <w:rsid w:val="52E2707D"/>
    <w:rsid w:val="53586CB7"/>
    <w:rsid w:val="5392585A"/>
    <w:rsid w:val="542A3FDF"/>
    <w:rsid w:val="558D5F36"/>
    <w:rsid w:val="55927961"/>
    <w:rsid w:val="55BD0C1D"/>
    <w:rsid w:val="55E63BF3"/>
    <w:rsid w:val="56352901"/>
    <w:rsid w:val="568E32EA"/>
    <w:rsid w:val="569039B1"/>
    <w:rsid w:val="56C13477"/>
    <w:rsid w:val="570744BE"/>
    <w:rsid w:val="578E3FD4"/>
    <w:rsid w:val="5946709A"/>
    <w:rsid w:val="594B0C47"/>
    <w:rsid w:val="59C45C32"/>
    <w:rsid w:val="5A3F1AED"/>
    <w:rsid w:val="5B265226"/>
    <w:rsid w:val="5B906AA1"/>
    <w:rsid w:val="5CD009D9"/>
    <w:rsid w:val="5CEB2FA2"/>
    <w:rsid w:val="5D18404C"/>
    <w:rsid w:val="5D9272B4"/>
    <w:rsid w:val="5DA3194B"/>
    <w:rsid w:val="5E425910"/>
    <w:rsid w:val="5F4A304F"/>
    <w:rsid w:val="5F5D08F4"/>
    <w:rsid w:val="5FC97D23"/>
    <w:rsid w:val="603575FB"/>
    <w:rsid w:val="60425F05"/>
    <w:rsid w:val="60753DA6"/>
    <w:rsid w:val="60AD2692"/>
    <w:rsid w:val="617814B8"/>
    <w:rsid w:val="61EE4FD5"/>
    <w:rsid w:val="629A5759"/>
    <w:rsid w:val="63260B52"/>
    <w:rsid w:val="63733C06"/>
    <w:rsid w:val="639E3209"/>
    <w:rsid w:val="63A01521"/>
    <w:rsid w:val="6422581D"/>
    <w:rsid w:val="64E12BE4"/>
    <w:rsid w:val="64EB76BB"/>
    <w:rsid w:val="65434337"/>
    <w:rsid w:val="654B5EF5"/>
    <w:rsid w:val="655F2193"/>
    <w:rsid w:val="663C5F64"/>
    <w:rsid w:val="663D6C0E"/>
    <w:rsid w:val="664C3DD2"/>
    <w:rsid w:val="669E5BE3"/>
    <w:rsid w:val="66F56459"/>
    <w:rsid w:val="67261D5D"/>
    <w:rsid w:val="67684A10"/>
    <w:rsid w:val="67FC7C4B"/>
    <w:rsid w:val="68005E38"/>
    <w:rsid w:val="683818B1"/>
    <w:rsid w:val="684F53F7"/>
    <w:rsid w:val="686806E3"/>
    <w:rsid w:val="6930614F"/>
    <w:rsid w:val="69361A93"/>
    <w:rsid w:val="694416A2"/>
    <w:rsid w:val="6954193D"/>
    <w:rsid w:val="6A2831C3"/>
    <w:rsid w:val="6A331A07"/>
    <w:rsid w:val="6AEB43D9"/>
    <w:rsid w:val="6B283C1F"/>
    <w:rsid w:val="6B342142"/>
    <w:rsid w:val="6B8D7855"/>
    <w:rsid w:val="6B9039D5"/>
    <w:rsid w:val="6BBC569B"/>
    <w:rsid w:val="6C0E7086"/>
    <w:rsid w:val="6C2C0607"/>
    <w:rsid w:val="6CD2396D"/>
    <w:rsid w:val="6CE4566E"/>
    <w:rsid w:val="6D954BF0"/>
    <w:rsid w:val="6DEF5891"/>
    <w:rsid w:val="6DF2246C"/>
    <w:rsid w:val="6E523D18"/>
    <w:rsid w:val="6FA872A3"/>
    <w:rsid w:val="6FB153FC"/>
    <w:rsid w:val="6FD251B7"/>
    <w:rsid w:val="70716221"/>
    <w:rsid w:val="70F67C28"/>
    <w:rsid w:val="71FB24D3"/>
    <w:rsid w:val="72CC13B1"/>
    <w:rsid w:val="72FA0707"/>
    <w:rsid w:val="736E3466"/>
    <w:rsid w:val="73903F68"/>
    <w:rsid w:val="74252E54"/>
    <w:rsid w:val="74E23005"/>
    <w:rsid w:val="75454413"/>
    <w:rsid w:val="75502CF9"/>
    <w:rsid w:val="759F1688"/>
    <w:rsid w:val="75A059A1"/>
    <w:rsid w:val="75CB0E82"/>
    <w:rsid w:val="7717469A"/>
    <w:rsid w:val="77480562"/>
    <w:rsid w:val="7754067D"/>
    <w:rsid w:val="777A33BF"/>
    <w:rsid w:val="77817832"/>
    <w:rsid w:val="77936C54"/>
    <w:rsid w:val="77D8021E"/>
    <w:rsid w:val="783C07E5"/>
    <w:rsid w:val="783F1D6A"/>
    <w:rsid w:val="787D1C90"/>
    <w:rsid w:val="79036B62"/>
    <w:rsid w:val="79942C0C"/>
    <w:rsid w:val="79BF6954"/>
    <w:rsid w:val="7AD748A1"/>
    <w:rsid w:val="7AD82A7D"/>
    <w:rsid w:val="7CD974EC"/>
    <w:rsid w:val="7DAC0315"/>
    <w:rsid w:val="7EF47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4">
    <w:name w:val="Body Text"/>
    <w:basedOn w:val="1"/>
    <w:qFormat/>
    <w:uiPriority w:val="0"/>
    <w:pPr>
      <w:widowControl w:val="0"/>
      <w:spacing w:after="0" w:line="360" w:lineRule="auto"/>
      <w:ind w:firstLine="880" w:firstLineChars="200"/>
      <w:jc w:val="both"/>
    </w:pPr>
    <w:rPr>
      <w:rFonts w:ascii="Times New Roman" w:hAnsi="Times New Roman" w:eastAsia="宋体" w:cs="Times New Roman"/>
      <w:sz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spacing w:line="312" w:lineRule="auto"/>
      <w:ind w:firstLine="420"/>
    </w:pPr>
    <w:rPr>
      <w:rFonts w:ascii="Calibri" w:hAnsi="Calibri"/>
      <w:kern w:val="0"/>
      <w:sz w:val="20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10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8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20">
    <w:name w:val="font9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D2C0-442F-4969-B38E-3ECC27927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2003</Words>
  <Characters>2096</Characters>
  <Lines>12</Lines>
  <Paragraphs>3</Paragraphs>
  <TotalTime>10</TotalTime>
  <ScaleCrop>false</ScaleCrop>
  <LinksUpToDate>false</LinksUpToDate>
  <CharactersWithSpaces>2153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2018-05-15T08:04:00Z</dcterms:created>
  <dc:creator>陆阳</dc:creator>
  <cp:lastModifiedBy>隋伟</cp:lastModifiedBy>
  <cp:lastPrinted>2025-02-17T00:30:00Z</cp:lastPrinted>
  <dcterms:modified xsi:type="dcterms:W3CDTF">2025-09-14T03:49:07Z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8FC30B21BA394C1BB5874A05B34EB74D_13</vt:lpwstr>
  </property>
  <property fmtid="{D5CDD505-2E9C-101B-9397-08002B2CF9AE}" pid="4" name="KSOTemplateDocerSaveRecord">
    <vt:lpwstr>eyJoZGlkIjoiNjJmZWM5N2M0NmRmMjc1ZGE4OTljYTA4MzIzZDIyODAiLCJ1c2VySWQiOiI0NDY5MjcwNDYifQ==</vt:lpwstr>
  </property>
</Properties>
</file>